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AFA" w:rsidRPr="00253AFA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733957">
        <w:rPr>
          <w:color w:val="FF0000"/>
        </w:rPr>
        <w:t>February</w:t>
      </w:r>
      <w:r w:rsidR="004E535B">
        <w:rPr>
          <w:color w:val="FF0000"/>
        </w:rPr>
        <w:t xml:space="preserve">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990"/>
      </w:tblGrid>
      <w:tr w:rsidR="002576E2" w:rsidRPr="00013089" w:rsidTr="008004E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8C0EA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33957">
              <w:rPr>
                <w:rFonts w:ascii="Arial" w:hAnsi="Arial" w:cs="Arial"/>
                <w:color w:val="FF0000"/>
                <w:sz w:val="16"/>
                <w:szCs w:val="16"/>
              </w:rPr>
              <w:t>Feb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733957" w:rsidP="00767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July-Feb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33957">
              <w:rPr>
                <w:rFonts w:ascii="Arial" w:hAnsi="Arial" w:cs="Arial"/>
                <w:color w:val="FF0000"/>
                <w:sz w:val="16"/>
                <w:szCs w:val="16"/>
              </w:rPr>
              <w:t>Feb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213F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733957">
              <w:rPr>
                <w:rFonts w:ascii="Arial" w:hAnsi="Arial" w:cs="Arial"/>
                <w:color w:val="FF0000"/>
                <w:sz w:val="16"/>
                <w:szCs w:val="16"/>
              </w:rPr>
              <w:t>Feb</w:t>
            </w:r>
            <w:r w:rsidR="003213FF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733957">
              <w:rPr>
                <w:rFonts w:ascii="Arial" w:hAnsi="Arial" w:cs="Arial"/>
                <w:color w:val="FF0000"/>
                <w:sz w:val="16"/>
                <w:szCs w:val="16"/>
              </w:rPr>
              <w:t>July-Feb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8004E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194346" w:rsidRDefault="00696A66" w:rsidP="00FC1B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94346">
              <w:rPr>
                <w:b/>
                <w:bCs/>
                <w:sz w:val="20"/>
                <w:szCs w:val="20"/>
              </w:rPr>
              <w:t>Total (A+B+</w:t>
            </w:r>
            <w:r w:rsidRPr="00194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9434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2333.36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2635.34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12.94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2236.56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17.83</w:t>
            </w:r>
          </w:p>
        </w:tc>
      </w:tr>
      <w:tr w:rsidR="00696A66" w:rsidRPr="00013089" w:rsidTr="008004E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194346" w:rsidRDefault="00696A66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194346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36.67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47.42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37.18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27.54</w:t>
            </w:r>
          </w:p>
        </w:tc>
      </w:tr>
      <w:tr w:rsidR="00696A66" w:rsidRPr="00013089" w:rsidTr="008004EA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194346" w:rsidRDefault="00696A66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194346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4.41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10.25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4.24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4.01</w:t>
            </w:r>
          </w:p>
        </w:tc>
      </w:tr>
      <w:tr w:rsidR="00696A66" w:rsidRPr="00013089" w:rsidTr="008004EA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194346" w:rsidRDefault="00696A66" w:rsidP="00FC1BA2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4346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2292.69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2583.52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12.68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2195.14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19434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94346">
              <w:rPr>
                <w:rFonts w:ascii="Bookman Old Style" w:hAnsi="Bookman Old Style"/>
                <w:b/>
                <w:sz w:val="18"/>
                <w:szCs w:val="18"/>
              </w:rPr>
              <w:t>17.69</w:t>
            </w:r>
          </w:p>
        </w:tc>
      </w:tr>
      <w:tr w:rsidR="00696A66" w:rsidRPr="00013089" w:rsidTr="008004EA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11.66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7E09D0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7E09D0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696A66" w:rsidRPr="00013089" w:rsidTr="008004EA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9C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4.7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33.10</w:t>
            </w:r>
          </w:p>
        </w:tc>
      </w:tr>
      <w:tr w:rsidR="00696A66" w:rsidRPr="00013089" w:rsidTr="008004EA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9C2001" w:rsidRDefault="00696A66" w:rsidP="009C2001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9C2001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436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290.67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385.92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281.87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36.91</w:t>
            </w:r>
          </w:p>
        </w:tc>
      </w:tr>
      <w:tr w:rsidR="00696A66" w:rsidRPr="00013089" w:rsidTr="008004EA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143.61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180.17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133.77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34.69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143.33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203.26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41.81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144.55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40.62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7E09D0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7E09D0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321.69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204.08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-70.00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-67.32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2A02E6" w:rsidRDefault="00696A66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197.70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238.39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186.34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27.93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-66.31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14.06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293.3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195.54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237.66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185.69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27.99</w:t>
            </w:r>
          </w:p>
        </w:tc>
      </w:tr>
      <w:tr w:rsidR="00696A66" w:rsidRPr="00013089" w:rsidTr="008004E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2A02E6" w:rsidRDefault="00696A66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79.36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73.25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100.51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-27.12</w:t>
            </w:r>
          </w:p>
        </w:tc>
      </w:tr>
      <w:tr w:rsidR="00696A66" w:rsidRPr="00013089" w:rsidTr="008004EA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2.6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60.96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350.00</w:t>
            </w:r>
          </w:p>
        </w:tc>
      </w:tr>
      <w:tr w:rsidR="00696A66" w:rsidRPr="00013089" w:rsidTr="008004E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59.01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110.9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87.92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56.51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96.25</w:t>
            </w:r>
          </w:p>
        </w:tc>
      </w:tr>
      <w:tr w:rsidR="00696A66" w:rsidRPr="00013089" w:rsidTr="008004EA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5.5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-96.18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40.00</w:t>
            </w:r>
          </w:p>
        </w:tc>
      </w:tr>
      <w:tr w:rsidR="00696A66" w:rsidRPr="00013089" w:rsidTr="008004E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611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407.34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341.32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-16.21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392.16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-12.96</w:t>
            </w:r>
          </w:p>
        </w:tc>
      </w:tr>
      <w:tr w:rsidR="00696A66" w:rsidRPr="00013089" w:rsidTr="008004E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380.2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253.47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219.49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-13.41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258.79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-15.19</w:t>
            </w:r>
          </w:p>
        </w:tc>
      </w:tr>
      <w:tr w:rsidR="00696A66" w:rsidRPr="00013089" w:rsidTr="008004E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230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153.34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117.74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-23.21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132.89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-11.40</w:t>
            </w:r>
          </w:p>
        </w:tc>
      </w:tr>
      <w:tr w:rsidR="00696A66" w:rsidRPr="00013089" w:rsidTr="008004EA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FC1BA2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0.8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4.09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666.87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0.48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752.08</w:t>
            </w:r>
          </w:p>
        </w:tc>
      </w:tr>
      <w:tr w:rsidR="00696A66" w:rsidRPr="00013089" w:rsidTr="008004EA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550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406.75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329.84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23.32</w:t>
            </w:r>
          </w:p>
        </w:tc>
      </w:tr>
      <w:tr w:rsidR="00696A66" w:rsidRPr="00013089" w:rsidTr="008004EA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103.95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5.12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114.84</w:t>
            </w:r>
          </w:p>
        </w:tc>
      </w:tr>
      <w:tr w:rsidR="00696A66" w:rsidRPr="00013089" w:rsidTr="008004EA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66" w:rsidRPr="003C52E4" w:rsidRDefault="00696A66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3C52E4" w:rsidRDefault="00696A66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DB29D9" w:rsidRDefault="00696A66" w:rsidP="00DB29D9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1317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878.01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997.61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839.25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66" w:rsidRPr="00696A66" w:rsidRDefault="00696A66" w:rsidP="00696A6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96A66">
              <w:rPr>
                <w:rFonts w:ascii="Bookman Old Style" w:hAnsi="Bookman Old Style"/>
                <w:sz w:val="18"/>
                <w:szCs w:val="18"/>
              </w:rPr>
              <w:t>18.87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733957">
        <w:rPr>
          <w:color w:val="FF0000"/>
        </w:rPr>
        <w:t>February</w:t>
      </w:r>
      <w:r w:rsidRPr="00A45E5A">
        <w:t xml:space="preserve">  2017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00"/>
      </w:tblGrid>
      <w:tr w:rsidR="003A66A3" w:rsidRPr="00013089" w:rsidTr="008004EA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733957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733957" w:rsidP="0073395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8C0EAB">
              <w:rPr>
                <w:sz w:val="16"/>
                <w:szCs w:val="16"/>
              </w:rPr>
              <w:t xml:space="preserve"> 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733957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733957">
              <w:rPr>
                <w:sz w:val="16"/>
                <w:szCs w:val="16"/>
              </w:rPr>
              <w:t xml:space="preserve">February 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733957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733957">
              <w:rPr>
                <w:sz w:val="16"/>
                <w:szCs w:val="16"/>
              </w:rPr>
              <w:t>Februar</w:t>
            </w:r>
            <w:r w:rsidR="005B73A5">
              <w:rPr>
                <w:sz w:val="16"/>
                <w:szCs w:val="16"/>
              </w:rPr>
              <w:t xml:space="preserve">y </w:t>
            </w:r>
            <w:r w:rsidR="00DD74B8">
              <w:rPr>
                <w:rFonts w:ascii="Tahoma" w:hAnsi="Tahoma"/>
                <w:bCs/>
                <w:w w:val="90"/>
                <w:sz w:val="14"/>
                <w:szCs w:val="14"/>
              </w:rPr>
              <w:t>2018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733957">
              <w:rPr>
                <w:sz w:val="16"/>
                <w:szCs w:val="16"/>
              </w:rPr>
              <w:t>February</w:t>
            </w:r>
            <w:r w:rsidR="005B73A5">
              <w:rPr>
                <w:sz w:val="16"/>
                <w:szCs w:val="16"/>
              </w:rPr>
              <w:t xml:space="preserve"> </w:t>
            </w:r>
            <w:r w:rsidR="00A04603">
              <w:rPr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DD74B8">
              <w:rPr>
                <w:rFonts w:ascii="Tahoma" w:hAnsi="Tahoma"/>
                <w:bCs/>
                <w:sz w:val="14"/>
                <w:szCs w:val="14"/>
              </w:rPr>
              <w:t>7</w:t>
            </w:r>
          </w:p>
        </w:tc>
      </w:tr>
      <w:tr w:rsidR="006C15E2" w:rsidRPr="00013089" w:rsidTr="008004E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05E45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330.09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05E45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13.17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05E45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266.66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05E45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23.79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765507">
        <w:rPr>
          <w:rFonts w:ascii="Bookman Old Style" w:hAnsi="Bookman Old Style"/>
          <w:b/>
          <w:bCs/>
          <w:sz w:val="26"/>
          <w:szCs w:val="26"/>
        </w:rPr>
        <w:t xml:space="preserve">March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765507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765507">
        <w:rPr>
          <w:rFonts w:ascii="Bookman Old Style" w:hAnsi="Bookman Old Style"/>
          <w:b/>
          <w:bCs/>
          <w:sz w:val="26"/>
          <w:szCs w:val="26"/>
          <w:u w:val="single"/>
        </w:rPr>
        <w:t>Service Sector for July-</w:t>
      </w:r>
      <w:r w:rsidR="00765507" w:rsidRPr="00765507">
        <w:rPr>
          <w:rFonts w:ascii="Bookman Old Style" w:hAnsi="Bookman Old Style"/>
          <w:b/>
          <w:bCs/>
          <w:sz w:val="26"/>
          <w:szCs w:val="26"/>
          <w:u w:val="single"/>
        </w:rPr>
        <w:t>February</w:t>
      </w:r>
      <w:r w:rsidR="00457458" w:rsidRPr="00765507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765507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765507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170"/>
        <w:gridCol w:w="808"/>
      </w:tblGrid>
      <w:tr w:rsidR="009F2570" w:rsidRPr="00013089" w:rsidTr="008004EA">
        <w:trPr>
          <w:gridAfter w:val="1"/>
          <w:wAfter w:w="80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8004E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8004EA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Default="0087511A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27557.00</w:t>
            </w:r>
          </w:p>
          <w:p w:rsidR="006F7017" w:rsidRDefault="006F7017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6F7017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(July-Mar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Default="0087511A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27451.55</w:t>
            </w:r>
          </w:p>
          <w:p w:rsidR="006F7017" w:rsidRDefault="006F7017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6C15E2" w:rsidRPr="009972BB" w:rsidRDefault="006F7017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(July-Mar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D7" w:rsidRPr="009972BB" w:rsidRDefault="00646ED7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- 0.38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Default="00646ED7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25816.60</w:t>
            </w:r>
          </w:p>
          <w:p w:rsidR="00DF307C" w:rsidRDefault="00DF307C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6F7017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(July-Mar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2016-17)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46ED7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6.33</w:t>
            </w:r>
          </w:p>
        </w:tc>
      </w:tr>
      <w:tr w:rsidR="00CA6CBB" w:rsidRPr="00013089" w:rsidTr="008004EA">
        <w:trPr>
          <w:gridAfter w:val="1"/>
          <w:wAfter w:w="80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013089" w:rsidRDefault="00CA6CBB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Default="00EF095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2333.36</w:t>
            </w:r>
          </w:p>
          <w:p w:rsidR="006F7017" w:rsidRDefault="006F701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6F7017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(July-Feb.</w:t>
            </w:r>
            <w:r w:rsidR="00CA6CBB"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Default="00EF095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2635.34</w:t>
            </w:r>
          </w:p>
          <w:p w:rsidR="006F7017" w:rsidRDefault="006F701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6F701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(July-Feb. </w:t>
            </w:r>
            <w:r w:rsidR="00CA6CBB">
              <w:rPr>
                <w:rFonts w:ascii="Bookman Old Style" w:hAnsi="Bookman Old Style"/>
                <w:b/>
                <w:bCs/>
                <w:sz w:val="14"/>
                <w:szCs w:val="18"/>
              </w:rPr>
              <w:t>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EF095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Default="00EF095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2236.56</w:t>
            </w:r>
          </w:p>
          <w:p w:rsidR="00CA6CBB" w:rsidRDefault="00CA6CB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6F7017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 xml:space="preserve">(July-Feb. </w:t>
            </w:r>
            <w:r w:rsidR="00CA6CBB">
              <w:rPr>
                <w:rFonts w:ascii="Bookman Old Style" w:hAnsi="Bookman Old Style"/>
                <w:b/>
                <w:bCs/>
                <w:sz w:val="14"/>
                <w:szCs w:val="18"/>
              </w:rPr>
              <w:t>2016-17)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D638A" w:rsidRDefault="00EF0957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17.83</w:t>
            </w:r>
          </w:p>
        </w:tc>
      </w:tr>
      <w:tr w:rsidR="006C15E2" w:rsidRPr="00013089" w:rsidTr="008004EA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EF0957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29890.36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5A4B92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30086.89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5A4B92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5A4B92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28053.16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5A4B92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7.25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07" w:rsidRDefault="00162B07" w:rsidP="00094B0A">
      <w:pPr>
        <w:spacing w:after="0" w:line="240" w:lineRule="auto"/>
      </w:pPr>
      <w:r>
        <w:separator/>
      </w:r>
    </w:p>
  </w:endnote>
  <w:endnote w:type="continuationSeparator" w:id="1">
    <w:p w:rsidR="00162B07" w:rsidRDefault="00162B07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04" w:rsidRPr="00E8194B" w:rsidRDefault="00253AFA">
    <w:pPr>
      <w:pStyle w:val="Footer"/>
      <w:rPr>
        <w:sz w:val="4"/>
        <w:szCs w:val="14"/>
      </w:rPr>
    </w:pPr>
    <w:fldSimple w:instr=" FILENAME  \p  \* MERGEFORMAT ">
      <w:r w:rsidR="00815517" w:rsidRPr="00815517">
        <w:rPr>
          <w:noProof/>
          <w:sz w:val="18"/>
        </w:rPr>
        <w:t>D:\Service Sector 2017-18\08.July-February  2017-18.docx</w:t>
      </w:r>
    </w:fldSimple>
    <w:r w:rsidR="0018402E" w:rsidRPr="00E8194B">
      <w:rPr>
        <w:sz w:val="4"/>
        <w:szCs w:val="14"/>
      </w:rPr>
      <w:t xml:space="preserve"> </w:t>
    </w:r>
  </w:p>
  <w:p w:rsidR="00327B90" w:rsidRPr="00DA207D" w:rsidRDefault="00162B07">
    <w:pPr>
      <w:pStyle w:val="Footer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07" w:rsidRDefault="00162B07" w:rsidP="00094B0A">
      <w:pPr>
        <w:spacing w:after="0" w:line="240" w:lineRule="auto"/>
      </w:pPr>
      <w:r>
        <w:separator/>
      </w:r>
    </w:p>
  </w:footnote>
  <w:footnote w:type="continuationSeparator" w:id="1">
    <w:p w:rsidR="00162B07" w:rsidRDefault="00162B07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25A0A"/>
    <w:rsid w:val="0003286C"/>
    <w:rsid w:val="00034744"/>
    <w:rsid w:val="00042B68"/>
    <w:rsid w:val="00044A58"/>
    <w:rsid w:val="00047484"/>
    <w:rsid w:val="00050F89"/>
    <w:rsid w:val="00055369"/>
    <w:rsid w:val="00056432"/>
    <w:rsid w:val="00056996"/>
    <w:rsid w:val="00062E2E"/>
    <w:rsid w:val="000647F7"/>
    <w:rsid w:val="000879D0"/>
    <w:rsid w:val="00094B0A"/>
    <w:rsid w:val="000964CB"/>
    <w:rsid w:val="000969B5"/>
    <w:rsid w:val="000A0105"/>
    <w:rsid w:val="000A23A0"/>
    <w:rsid w:val="000B339C"/>
    <w:rsid w:val="000C73A8"/>
    <w:rsid w:val="000D2122"/>
    <w:rsid w:val="000D6150"/>
    <w:rsid w:val="000D7084"/>
    <w:rsid w:val="000E5CEC"/>
    <w:rsid w:val="000E5F72"/>
    <w:rsid w:val="000F1DD4"/>
    <w:rsid w:val="000F25C8"/>
    <w:rsid w:val="000F2D8A"/>
    <w:rsid w:val="000F3676"/>
    <w:rsid w:val="000F3BDE"/>
    <w:rsid w:val="000F6E5D"/>
    <w:rsid w:val="00101412"/>
    <w:rsid w:val="0010682F"/>
    <w:rsid w:val="001143BB"/>
    <w:rsid w:val="00124A6C"/>
    <w:rsid w:val="0013587C"/>
    <w:rsid w:val="00135FD6"/>
    <w:rsid w:val="001404F9"/>
    <w:rsid w:val="001439BD"/>
    <w:rsid w:val="00146F50"/>
    <w:rsid w:val="0015089F"/>
    <w:rsid w:val="0015197F"/>
    <w:rsid w:val="00155E61"/>
    <w:rsid w:val="001567D1"/>
    <w:rsid w:val="00162B07"/>
    <w:rsid w:val="001649FE"/>
    <w:rsid w:val="00172DA8"/>
    <w:rsid w:val="001754B5"/>
    <w:rsid w:val="00175E9B"/>
    <w:rsid w:val="00181D18"/>
    <w:rsid w:val="00183D2B"/>
    <w:rsid w:val="0018402E"/>
    <w:rsid w:val="0018495F"/>
    <w:rsid w:val="001867E6"/>
    <w:rsid w:val="001908F2"/>
    <w:rsid w:val="00191CFB"/>
    <w:rsid w:val="00194346"/>
    <w:rsid w:val="001949B1"/>
    <w:rsid w:val="001952CB"/>
    <w:rsid w:val="001A2489"/>
    <w:rsid w:val="001A6A14"/>
    <w:rsid w:val="001B452A"/>
    <w:rsid w:val="001C4A45"/>
    <w:rsid w:val="001D07D7"/>
    <w:rsid w:val="001D3B7C"/>
    <w:rsid w:val="001D6399"/>
    <w:rsid w:val="001E109C"/>
    <w:rsid w:val="001F0B21"/>
    <w:rsid w:val="001F1294"/>
    <w:rsid w:val="001F1F49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17C6D"/>
    <w:rsid w:val="00217E83"/>
    <w:rsid w:val="00221BCD"/>
    <w:rsid w:val="00222E8D"/>
    <w:rsid w:val="002301E3"/>
    <w:rsid w:val="00230282"/>
    <w:rsid w:val="00235F80"/>
    <w:rsid w:val="0024129B"/>
    <w:rsid w:val="00242FB4"/>
    <w:rsid w:val="002477FC"/>
    <w:rsid w:val="00251C0D"/>
    <w:rsid w:val="00253AFA"/>
    <w:rsid w:val="002550F8"/>
    <w:rsid w:val="002576E2"/>
    <w:rsid w:val="00262459"/>
    <w:rsid w:val="00270CB3"/>
    <w:rsid w:val="002725F8"/>
    <w:rsid w:val="00281587"/>
    <w:rsid w:val="002912FA"/>
    <w:rsid w:val="00293D05"/>
    <w:rsid w:val="00293FF2"/>
    <w:rsid w:val="002A02E6"/>
    <w:rsid w:val="002A31EA"/>
    <w:rsid w:val="002A5477"/>
    <w:rsid w:val="002B34AB"/>
    <w:rsid w:val="002C17C3"/>
    <w:rsid w:val="002C19CD"/>
    <w:rsid w:val="002C6AC4"/>
    <w:rsid w:val="002C6EA7"/>
    <w:rsid w:val="002D0081"/>
    <w:rsid w:val="002D3554"/>
    <w:rsid w:val="002F482C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661F"/>
    <w:rsid w:val="003314ED"/>
    <w:rsid w:val="00332416"/>
    <w:rsid w:val="0033334A"/>
    <w:rsid w:val="00334AFB"/>
    <w:rsid w:val="00345750"/>
    <w:rsid w:val="003509B0"/>
    <w:rsid w:val="00376727"/>
    <w:rsid w:val="003803A1"/>
    <w:rsid w:val="00384DC6"/>
    <w:rsid w:val="0038722F"/>
    <w:rsid w:val="003A1A06"/>
    <w:rsid w:val="003A2830"/>
    <w:rsid w:val="003A3719"/>
    <w:rsid w:val="003A66A3"/>
    <w:rsid w:val="003A6F54"/>
    <w:rsid w:val="003B0F9F"/>
    <w:rsid w:val="003B1485"/>
    <w:rsid w:val="003B3653"/>
    <w:rsid w:val="003B50E0"/>
    <w:rsid w:val="003B7096"/>
    <w:rsid w:val="003C13DA"/>
    <w:rsid w:val="003C34DB"/>
    <w:rsid w:val="003C5196"/>
    <w:rsid w:val="003C51AC"/>
    <w:rsid w:val="003C52E4"/>
    <w:rsid w:val="003D0C14"/>
    <w:rsid w:val="003D1D74"/>
    <w:rsid w:val="003D55A4"/>
    <w:rsid w:val="003D70DD"/>
    <w:rsid w:val="003E08A5"/>
    <w:rsid w:val="003E4288"/>
    <w:rsid w:val="003E6AD8"/>
    <w:rsid w:val="003F38B9"/>
    <w:rsid w:val="003F466D"/>
    <w:rsid w:val="003F585E"/>
    <w:rsid w:val="003F7B67"/>
    <w:rsid w:val="00402BBA"/>
    <w:rsid w:val="00404485"/>
    <w:rsid w:val="004056BF"/>
    <w:rsid w:val="00410D14"/>
    <w:rsid w:val="0041513A"/>
    <w:rsid w:val="00424687"/>
    <w:rsid w:val="004252E8"/>
    <w:rsid w:val="00431082"/>
    <w:rsid w:val="00441095"/>
    <w:rsid w:val="00444C8B"/>
    <w:rsid w:val="00444D45"/>
    <w:rsid w:val="004513C2"/>
    <w:rsid w:val="004548D4"/>
    <w:rsid w:val="00457458"/>
    <w:rsid w:val="0046416F"/>
    <w:rsid w:val="0046477A"/>
    <w:rsid w:val="00464EA5"/>
    <w:rsid w:val="00466490"/>
    <w:rsid w:val="004718C8"/>
    <w:rsid w:val="00473941"/>
    <w:rsid w:val="00475AF9"/>
    <w:rsid w:val="00476080"/>
    <w:rsid w:val="00477996"/>
    <w:rsid w:val="00481D32"/>
    <w:rsid w:val="00490BCF"/>
    <w:rsid w:val="004A2DF5"/>
    <w:rsid w:val="004A3A59"/>
    <w:rsid w:val="004B447C"/>
    <w:rsid w:val="004B6F12"/>
    <w:rsid w:val="004B77BD"/>
    <w:rsid w:val="004D656F"/>
    <w:rsid w:val="004E009E"/>
    <w:rsid w:val="004E1D2D"/>
    <w:rsid w:val="004E5157"/>
    <w:rsid w:val="004E535B"/>
    <w:rsid w:val="004E77B8"/>
    <w:rsid w:val="00501E50"/>
    <w:rsid w:val="0050212E"/>
    <w:rsid w:val="0050700E"/>
    <w:rsid w:val="00507C29"/>
    <w:rsid w:val="00512B0F"/>
    <w:rsid w:val="00513D35"/>
    <w:rsid w:val="005147A4"/>
    <w:rsid w:val="00520872"/>
    <w:rsid w:val="00520AE8"/>
    <w:rsid w:val="005258C8"/>
    <w:rsid w:val="00527266"/>
    <w:rsid w:val="00537F8F"/>
    <w:rsid w:val="00537FCE"/>
    <w:rsid w:val="00541522"/>
    <w:rsid w:val="00541B9F"/>
    <w:rsid w:val="0054405D"/>
    <w:rsid w:val="00544DD7"/>
    <w:rsid w:val="00556A4A"/>
    <w:rsid w:val="0056242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4B92"/>
    <w:rsid w:val="005A7B08"/>
    <w:rsid w:val="005A7BA9"/>
    <w:rsid w:val="005B35CD"/>
    <w:rsid w:val="005B73A5"/>
    <w:rsid w:val="005C01B9"/>
    <w:rsid w:val="005C35FE"/>
    <w:rsid w:val="005C5FC0"/>
    <w:rsid w:val="005C6EB4"/>
    <w:rsid w:val="005D0569"/>
    <w:rsid w:val="005F1812"/>
    <w:rsid w:val="005F5293"/>
    <w:rsid w:val="005F7E39"/>
    <w:rsid w:val="00631D49"/>
    <w:rsid w:val="00632BFB"/>
    <w:rsid w:val="0063656B"/>
    <w:rsid w:val="00637988"/>
    <w:rsid w:val="00640557"/>
    <w:rsid w:val="00646ED7"/>
    <w:rsid w:val="0065437D"/>
    <w:rsid w:val="00660BAE"/>
    <w:rsid w:val="00676E8E"/>
    <w:rsid w:val="00677B9A"/>
    <w:rsid w:val="00681D6F"/>
    <w:rsid w:val="006856A3"/>
    <w:rsid w:val="00687E72"/>
    <w:rsid w:val="006933B6"/>
    <w:rsid w:val="00696A66"/>
    <w:rsid w:val="006A3DF7"/>
    <w:rsid w:val="006A509F"/>
    <w:rsid w:val="006B69A4"/>
    <w:rsid w:val="006C15E2"/>
    <w:rsid w:val="006C6A89"/>
    <w:rsid w:val="006D0141"/>
    <w:rsid w:val="006D2B0A"/>
    <w:rsid w:val="006D2D8A"/>
    <w:rsid w:val="006D3452"/>
    <w:rsid w:val="006D6704"/>
    <w:rsid w:val="006E03B4"/>
    <w:rsid w:val="006E7171"/>
    <w:rsid w:val="006E7FC0"/>
    <w:rsid w:val="006F06CC"/>
    <w:rsid w:val="006F087C"/>
    <w:rsid w:val="006F09D6"/>
    <w:rsid w:val="006F0CF2"/>
    <w:rsid w:val="006F3293"/>
    <w:rsid w:val="006F5663"/>
    <w:rsid w:val="006F7017"/>
    <w:rsid w:val="006F7535"/>
    <w:rsid w:val="00704F16"/>
    <w:rsid w:val="00705B91"/>
    <w:rsid w:val="00706DD7"/>
    <w:rsid w:val="00712FB2"/>
    <w:rsid w:val="00713011"/>
    <w:rsid w:val="007163D4"/>
    <w:rsid w:val="0072025B"/>
    <w:rsid w:val="00733957"/>
    <w:rsid w:val="00743212"/>
    <w:rsid w:val="00744521"/>
    <w:rsid w:val="00756A5A"/>
    <w:rsid w:val="00756B9F"/>
    <w:rsid w:val="00765507"/>
    <w:rsid w:val="00765A53"/>
    <w:rsid w:val="007676B8"/>
    <w:rsid w:val="00767EB6"/>
    <w:rsid w:val="007703C8"/>
    <w:rsid w:val="00773ABB"/>
    <w:rsid w:val="00777018"/>
    <w:rsid w:val="007873B7"/>
    <w:rsid w:val="0079332D"/>
    <w:rsid w:val="007A5898"/>
    <w:rsid w:val="007A7552"/>
    <w:rsid w:val="007B088F"/>
    <w:rsid w:val="007B350B"/>
    <w:rsid w:val="007B66FA"/>
    <w:rsid w:val="007C3658"/>
    <w:rsid w:val="007D0592"/>
    <w:rsid w:val="007D0B18"/>
    <w:rsid w:val="007D541F"/>
    <w:rsid w:val="007E09D0"/>
    <w:rsid w:val="007F5A5D"/>
    <w:rsid w:val="008004EA"/>
    <w:rsid w:val="00807C12"/>
    <w:rsid w:val="008137CC"/>
    <w:rsid w:val="008144D8"/>
    <w:rsid w:val="00815517"/>
    <w:rsid w:val="00831AC8"/>
    <w:rsid w:val="0084126E"/>
    <w:rsid w:val="00843BCA"/>
    <w:rsid w:val="00845874"/>
    <w:rsid w:val="00856903"/>
    <w:rsid w:val="0086265A"/>
    <w:rsid w:val="00867678"/>
    <w:rsid w:val="00870854"/>
    <w:rsid w:val="00870917"/>
    <w:rsid w:val="0087342F"/>
    <w:rsid w:val="0087511A"/>
    <w:rsid w:val="0087535C"/>
    <w:rsid w:val="008759E6"/>
    <w:rsid w:val="00876412"/>
    <w:rsid w:val="00877D3B"/>
    <w:rsid w:val="0088197A"/>
    <w:rsid w:val="008825B6"/>
    <w:rsid w:val="00883A74"/>
    <w:rsid w:val="008915CF"/>
    <w:rsid w:val="0089491B"/>
    <w:rsid w:val="008950E8"/>
    <w:rsid w:val="008A669F"/>
    <w:rsid w:val="008B2604"/>
    <w:rsid w:val="008B7C6C"/>
    <w:rsid w:val="008C0EAB"/>
    <w:rsid w:val="008D2106"/>
    <w:rsid w:val="008D5766"/>
    <w:rsid w:val="008D6317"/>
    <w:rsid w:val="008F2E9C"/>
    <w:rsid w:val="008F39D6"/>
    <w:rsid w:val="008F5588"/>
    <w:rsid w:val="00901E46"/>
    <w:rsid w:val="009026AE"/>
    <w:rsid w:val="00903BA5"/>
    <w:rsid w:val="009044F8"/>
    <w:rsid w:val="0092513A"/>
    <w:rsid w:val="009265D6"/>
    <w:rsid w:val="00927AB3"/>
    <w:rsid w:val="00934BE5"/>
    <w:rsid w:val="009574D4"/>
    <w:rsid w:val="00962539"/>
    <w:rsid w:val="00966BEE"/>
    <w:rsid w:val="009734C7"/>
    <w:rsid w:val="0097367F"/>
    <w:rsid w:val="00973D23"/>
    <w:rsid w:val="009746B4"/>
    <w:rsid w:val="00975887"/>
    <w:rsid w:val="009828A2"/>
    <w:rsid w:val="00983C69"/>
    <w:rsid w:val="00990139"/>
    <w:rsid w:val="00990E73"/>
    <w:rsid w:val="0099384E"/>
    <w:rsid w:val="009963B1"/>
    <w:rsid w:val="009C2001"/>
    <w:rsid w:val="009C46D8"/>
    <w:rsid w:val="009D638A"/>
    <w:rsid w:val="009E0008"/>
    <w:rsid w:val="009E24BE"/>
    <w:rsid w:val="009F2570"/>
    <w:rsid w:val="009F38C8"/>
    <w:rsid w:val="009F4486"/>
    <w:rsid w:val="00A04603"/>
    <w:rsid w:val="00A05E45"/>
    <w:rsid w:val="00A10019"/>
    <w:rsid w:val="00A10239"/>
    <w:rsid w:val="00A14F44"/>
    <w:rsid w:val="00A1548E"/>
    <w:rsid w:val="00A17F68"/>
    <w:rsid w:val="00A23363"/>
    <w:rsid w:val="00A23383"/>
    <w:rsid w:val="00A36E52"/>
    <w:rsid w:val="00A42B25"/>
    <w:rsid w:val="00A442F3"/>
    <w:rsid w:val="00A45E5A"/>
    <w:rsid w:val="00A55E31"/>
    <w:rsid w:val="00A56E3A"/>
    <w:rsid w:val="00A57A8A"/>
    <w:rsid w:val="00A628AB"/>
    <w:rsid w:val="00A66DBF"/>
    <w:rsid w:val="00A7059F"/>
    <w:rsid w:val="00A737A5"/>
    <w:rsid w:val="00A76F46"/>
    <w:rsid w:val="00A77289"/>
    <w:rsid w:val="00A8203C"/>
    <w:rsid w:val="00A840BB"/>
    <w:rsid w:val="00A848DC"/>
    <w:rsid w:val="00A879B7"/>
    <w:rsid w:val="00A905EB"/>
    <w:rsid w:val="00A95785"/>
    <w:rsid w:val="00AA0091"/>
    <w:rsid w:val="00AC1D92"/>
    <w:rsid w:val="00AC372E"/>
    <w:rsid w:val="00AC570F"/>
    <w:rsid w:val="00AC5732"/>
    <w:rsid w:val="00AD012E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C40"/>
    <w:rsid w:val="00B00E4A"/>
    <w:rsid w:val="00B02090"/>
    <w:rsid w:val="00B12B6E"/>
    <w:rsid w:val="00B173DE"/>
    <w:rsid w:val="00B20114"/>
    <w:rsid w:val="00B23A69"/>
    <w:rsid w:val="00B257C4"/>
    <w:rsid w:val="00B300A8"/>
    <w:rsid w:val="00B318B4"/>
    <w:rsid w:val="00B337BB"/>
    <w:rsid w:val="00B33EA8"/>
    <w:rsid w:val="00B36E7F"/>
    <w:rsid w:val="00B36F03"/>
    <w:rsid w:val="00B55877"/>
    <w:rsid w:val="00B578F4"/>
    <w:rsid w:val="00B60B8F"/>
    <w:rsid w:val="00B71949"/>
    <w:rsid w:val="00B72075"/>
    <w:rsid w:val="00B726B3"/>
    <w:rsid w:val="00B74523"/>
    <w:rsid w:val="00B779EA"/>
    <w:rsid w:val="00B81164"/>
    <w:rsid w:val="00B8520F"/>
    <w:rsid w:val="00B85549"/>
    <w:rsid w:val="00B90D1C"/>
    <w:rsid w:val="00B95098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3F05"/>
    <w:rsid w:val="00BE5ABB"/>
    <w:rsid w:val="00BE6700"/>
    <w:rsid w:val="00BF421C"/>
    <w:rsid w:val="00BF4C4C"/>
    <w:rsid w:val="00BF4F0A"/>
    <w:rsid w:val="00BF73A0"/>
    <w:rsid w:val="00BF7947"/>
    <w:rsid w:val="00C04F5D"/>
    <w:rsid w:val="00C059A4"/>
    <w:rsid w:val="00C075CF"/>
    <w:rsid w:val="00C1014E"/>
    <w:rsid w:val="00C129E2"/>
    <w:rsid w:val="00C15101"/>
    <w:rsid w:val="00C20205"/>
    <w:rsid w:val="00C250E4"/>
    <w:rsid w:val="00C2798B"/>
    <w:rsid w:val="00C4057F"/>
    <w:rsid w:val="00C44080"/>
    <w:rsid w:val="00C500A3"/>
    <w:rsid w:val="00C61B2C"/>
    <w:rsid w:val="00C62D66"/>
    <w:rsid w:val="00C63E8A"/>
    <w:rsid w:val="00C648EF"/>
    <w:rsid w:val="00C64BE0"/>
    <w:rsid w:val="00C6507A"/>
    <w:rsid w:val="00C74F87"/>
    <w:rsid w:val="00C75269"/>
    <w:rsid w:val="00C8097F"/>
    <w:rsid w:val="00C836FC"/>
    <w:rsid w:val="00C84ECF"/>
    <w:rsid w:val="00C86933"/>
    <w:rsid w:val="00CA0C9C"/>
    <w:rsid w:val="00CA16EA"/>
    <w:rsid w:val="00CA6CBB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12167"/>
    <w:rsid w:val="00D20B10"/>
    <w:rsid w:val="00D30F11"/>
    <w:rsid w:val="00D4135F"/>
    <w:rsid w:val="00D45008"/>
    <w:rsid w:val="00D45533"/>
    <w:rsid w:val="00D46AAA"/>
    <w:rsid w:val="00D5249A"/>
    <w:rsid w:val="00D54DD9"/>
    <w:rsid w:val="00D62015"/>
    <w:rsid w:val="00D622F0"/>
    <w:rsid w:val="00D7447F"/>
    <w:rsid w:val="00D7579B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B5D2D"/>
    <w:rsid w:val="00DC4F85"/>
    <w:rsid w:val="00DC514D"/>
    <w:rsid w:val="00DD74B8"/>
    <w:rsid w:val="00DE62EB"/>
    <w:rsid w:val="00DF307C"/>
    <w:rsid w:val="00DF3107"/>
    <w:rsid w:val="00DF4FD1"/>
    <w:rsid w:val="00DF5EE4"/>
    <w:rsid w:val="00DF7C70"/>
    <w:rsid w:val="00E03155"/>
    <w:rsid w:val="00E034DC"/>
    <w:rsid w:val="00E03E6A"/>
    <w:rsid w:val="00E04B01"/>
    <w:rsid w:val="00E17119"/>
    <w:rsid w:val="00E20C94"/>
    <w:rsid w:val="00E20F3C"/>
    <w:rsid w:val="00E27AD9"/>
    <w:rsid w:val="00E32C8A"/>
    <w:rsid w:val="00E32DD0"/>
    <w:rsid w:val="00E407C0"/>
    <w:rsid w:val="00E44ACC"/>
    <w:rsid w:val="00E45496"/>
    <w:rsid w:val="00E467D8"/>
    <w:rsid w:val="00E47F42"/>
    <w:rsid w:val="00E519A6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8194B"/>
    <w:rsid w:val="00E9222A"/>
    <w:rsid w:val="00EA10B4"/>
    <w:rsid w:val="00EA473D"/>
    <w:rsid w:val="00EA5CED"/>
    <w:rsid w:val="00EA706B"/>
    <w:rsid w:val="00EB4714"/>
    <w:rsid w:val="00EB6A99"/>
    <w:rsid w:val="00EC77C9"/>
    <w:rsid w:val="00ED6D92"/>
    <w:rsid w:val="00ED7158"/>
    <w:rsid w:val="00EE1DE5"/>
    <w:rsid w:val="00EE2F86"/>
    <w:rsid w:val="00EE3E78"/>
    <w:rsid w:val="00EE58CA"/>
    <w:rsid w:val="00EF0957"/>
    <w:rsid w:val="00EF44A4"/>
    <w:rsid w:val="00EF6F17"/>
    <w:rsid w:val="00EF7878"/>
    <w:rsid w:val="00F05A93"/>
    <w:rsid w:val="00F12CD9"/>
    <w:rsid w:val="00F12F44"/>
    <w:rsid w:val="00F143D3"/>
    <w:rsid w:val="00F14515"/>
    <w:rsid w:val="00F149F8"/>
    <w:rsid w:val="00F20CA2"/>
    <w:rsid w:val="00F245FA"/>
    <w:rsid w:val="00F318BF"/>
    <w:rsid w:val="00F44686"/>
    <w:rsid w:val="00F4551C"/>
    <w:rsid w:val="00F51FBF"/>
    <w:rsid w:val="00F55969"/>
    <w:rsid w:val="00F56509"/>
    <w:rsid w:val="00F56743"/>
    <w:rsid w:val="00F65ED9"/>
    <w:rsid w:val="00F66A2E"/>
    <w:rsid w:val="00F71BA4"/>
    <w:rsid w:val="00F725E3"/>
    <w:rsid w:val="00F731AE"/>
    <w:rsid w:val="00F81844"/>
    <w:rsid w:val="00F82E88"/>
    <w:rsid w:val="00F83B15"/>
    <w:rsid w:val="00F92EE0"/>
    <w:rsid w:val="00F94AFB"/>
    <w:rsid w:val="00F96A73"/>
    <w:rsid w:val="00FA26F1"/>
    <w:rsid w:val="00FA6C1C"/>
    <w:rsid w:val="00FA7FE4"/>
    <w:rsid w:val="00FB373A"/>
    <w:rsid w:val="00FB62EE"/>
    <w:rsid w:val="00FC1BA2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User</cp:lastModifiedBy>
  <cp:revision>213</cp:revision>
  <cp:lastPrinted>2018-04-23T05:48:00Z</cp:lastPrinted>
  <dcterms:created xsi:type="dcterms:W3CDTF">2017-11-19T10:12:00Z</dcterms:created>
  <dcterms:modified xsi:type="dcterms:W3CDTF">2018-04-23T05:48:00Z</dcterms:modified>
</cp:coreProperties>
</file>